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r>
        <w:drawing>
          <wp:inline>
            <wp:extent cx="5940425" cy="8172161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817216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/>
    <w:p w14:paraId="03000000"/>
    <w:p w14:paraId="04000000"/>
    <w:p w14:paraId="05000000"/>
    <w:p w14:paraId="06000000"/>
    <w:p w14:paraId="07000000">
      <w:pPr>
        <w:numPr>
          <w:ilvl w:val="0"/>
          <w:numId w:val="1"/>
        </w:numPr>
        <w:ind/>
        <w:contextualSpacing w:val="1"/>
        <w:jc w:val="center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Общие  положения</w:t>
      </w:r>
      <w:r>
        <w:rPr>
          <w:rFonts w:ascii="Times New Roman" w:hAnsi="Times New Roman"/>
          <w:b w:val="1"/>
        </w:rPr>
        <w:t>.</w:t>
      </w:r>
    </w:p>
    <w:p w14:paraId="08000000">
      <w:pPr>
        <w:numPr>
          <w:ilvl w:val="1"/>
          <w:numId w:val="1"/>
        </w:numPr>
        <w:ind/>
        <w:contextualSpacing w:val="1"/>
        <w:rPr>
          <w:rFonts w:ascii="Times New Roman" w:hAnsi="Times New Roman"/>
          <w:b w:val="1"/>
        </w:rPr>
      </w:pPr>
      <w:r>
        <w:rPr>
          <w:rFonts w:ascii="Times New Roman" w:hAnsi="Times New Roman"/>
        </w:rPr>
        <w:t>Настоящее  положение «О порядке и условиях оплаты и стимулировании  труда работникам МБДОУ детского сада № 7</w:t>
      </w:r>
      <w:r>
        <w:rPr>
          <w:rFonts w:ascii="Times New Roman" w:hAnsi="Times New Roman"/>
        </w:rPr>
        <w:t xml:space="preserve">3» (далее – Положение) разработано в соответствии с требованиями трудового законодательства и иных нормативных правовых актов, содержащих нормы трудового права, в соответствии с Постановлением Главы администрации города Твери от 12.12.2008 года № 3468 «Об </w:t>
      </w:r>
      <w:r>
        <w:rPr>
          <w:rFonts w:ascii="Times New Roman" w:hAnsi="Times New Roman"/>
        </w:rPr>
        <w:t>утверждении Положения об установлении труда в муниципальных учреждениях города Твери», Постановлением Главы администрации города Твери от 17.12.2008 г. № 3588 «Об утверждении «Положения о порядке и условиях оплаты и стимулирования труда в муниципальных учр</w:t>
      </w:r>
      <w:r>
        <w:rPr>
          <w:rFonts w:ascii="Times New Roman" w:hAnsi="Times New Roman"/>
        </w:rPr>
        <w:t>еждениях образования города Твери», приказом Управления образования администрации города Твери от 22.12.2008 г.  № 192 «О введении новой системы оплаты труда в отрасли «Образование», Постановлением Главы администрации г. Твери «О внесении изменений в поста</w:t>
      </w:r>
      <w:r>
        <w:rPr>
          <w:rFonts w:ascii="Times New Roman" w:hAnsi="Times New Roman"/>
        </w:rPr>
        <w:t xml:space="preserve">новление Главы администрации </w:t>
      </w:r>
      <w:r>
        <w:rPr>
          <w:rFonts w:ascii="Times New Roman" w:hAnsi="Times New Roman"/>
        </w:rPr>
        <w:t>города  от</w:t>
      </w:r>
      <w:r>
        <w:rPr>
          <w:rFonts w:ascii="Times New Roman" w:hAnsi="Times New Roman"/>
        </w:rPr>
        <w:t xml:space="preserve"> 17.12.2008 №3588 «Об утверждении «Положения о порядке и условиях оплаты и стимулирования труда в муниципальных учреждениях образования города Твери», </w:t>
      </w:r>
      <w:r>
        <w:rPr>
          <w:rFonts w:ascii="Times New Roman" w:hAnsi="Times New Roman"/>
          <w:b w:val="1"/>
        </w:rPr>
        <w:t>Постановлением правительства Тверской области     № 535-пп от 20.0</w:t>
      </w:r>
      <w:r>
        <w:rPr>
          <w:rFonts w:ascii="Times New Roman" w:hAnsi="Times New Roman"/>
          <w:b w:val="1"/>
        </w:rPr>
        <w:t>9.2022 «О несении изменений в постановление Правительства  Тверской области от 18.08.2017 № 247-пп.</w:t>
      </w:r>
    </w:p>
    <w:p w14:paraId="09000000">
      <w:pPr>
        <w:numPr>
          <w:ilvl w:val="1"/>
          <w:numId w:val="1"/>
        </w:numPr>
        <w:ind/>
        <w:contextualSpacing w:val="1"/>
        <w:rPr>
          <w:rFonts w:ascii="Times New Roman" w:hAnsi="Times New Roman"/>
        </w:rPr>
      </w:pPr>
      <w:r>
        <w:rPr>
          <w:rFonts w:ascii="Times New Roman" w:hAnsi="Times New Roman"/>
        </w:rPr>
        <w:t>Положение устанавливает порядок и условия оплаты труда и разработано в целях усиления материальной заинтересованности работников детского сада в повышении к</w:t>
      </w:r>
      <w:r>
        <w:rPr>
          <w:rFonts w:ascii="Times New Roman" w:hAnsi="Times New Roman"/>
        </w:rPr>
        <w:t>ачества воспитательного, образовательного, коррекционного процесса, развития творческой активности и инициативы, сохранения здоровья воспитанников, закрепления высококвалифицированных кадров.</w:t>
      </w:r>
    </w:p>
    <w:p w14:paraId="0A000000">
      <w:pPr>
        <w:numPr>
          <w:ilvl w:val="1"/>
          <w:numId w:val="1"/>
        </w:numPr>
        <w:ind/>
        <w:contextualSpacing w:val="1"/>
        <w:rPr>
          <w:rFonts w:ascii="Times New Roman" w:hAnsi="Times New Roman"/>
        </w:rPr>
      </w:pPr>
      <w:r>
        <w:rPr>
          <w:rFonts w:ascii="Times New Roman" w:hAnsi="Times New Roman"/>
        </w:rPr>
        <w:t>Положение является локальным нормативным актом детского сада, ре</w:t>
      </w:r>
      <w:r>
        <w:rPr>
          <w:rFonts w:ascii="Times New Roman" w:hAnsi="Times New Roman"/>
        </w:rPr>
        <w:t xml:space="preserve">гулирующим порядок применения различных видов и определения размеров материального </w:t>
      </w:r>
      <w:r>
        <w:rPr>
          <w:rFonts w:ascii="Times New Roman" w:hAnsi="Times New Roman"/>
        </w:rPr>
        <w:t>стимулирования,  устанавливает</w:t>
      </w:r>
      <w:r>
        <w:rPr>
          <w:rFonts w:ascii="Times New Roman" w:hAnsi="Times New Roman"/>
        </w:rPr>
        <w:t xml:space="preserve"> виды, правила предоставления стимулирующих выплат и порядок распределения стимулирующей части фонда оплаты труда работникам МБДОУ детского сад</w:t>
      </w:r>
      <w:r>
        <w:rPr>
          <w:rFonts w:ascii="Times New Roman" w:hAnsi="Times New Roman"/>
        </w:rPr>
        <w:t>а № 73.</w:t>
      </w:r>
    </w:p>
    <w:p w14:paraId="0B000000">
      <w:pPr>
        <w:numPr>
          <w:ilvl w:val="1"/>
          <w:numId w:val="1"/>
        </w:numPr>
        <w:ind/>
        <w:contextualSpacing w:val="1"/>
        <w:rPr>
          <w:rFonts w:ascii="Times New Roman" w:hAnsi="Times New Roman"/>
        </w:rPr>
      </w:pPr>
      <w:r>
        <w:rPr>
          <w:rFonts w:ascii="Times New Roman" w:hAnsi="Times New Roman"/>
        </w:rPr>
        <w:t>Объём средств, направляемых на стимулирующие выплаты не педагогическим работникам детского сада, зависит от размера фонда оплаты труда, который определяется Учредителем и зависит от остатков средств, после распределения должностных окладов и компен</w:t>
      </w:r>
      <w:r>
        <w:rPr>
          <w:rFonts w:ascii="Times New Roman" w:hAnsi="Times New Roman"/>
        </w:rPr>
        <w:t>сационных выплат.</w:t>
      </w:r>
    </w:p>
    <w:p w14:paraId="0C000000">
      <w:pPr>
        <w:numPr>
          <w:ilvl w:val="1"/>
          <w:numId w:val="1"/>
        </w:numPr>
        <w:ind/>
        <w:contextualSpacing w:val="1"/>
        <w:rPr>
          <w:rFonts w:ascii="Times New Roman" w:hAnsi="Times New Roman"/>
        </w:rPr>
      </w:pPr>
      <w:r>
        <w:rPr>
          <w:rFonts w:ascii="Times New Roman" w:hAnsi="Times New Roman"/>
        </w:rPr>
        <w:t>Объём средств, направляемых на стимулирующие выплаты педагогическим работникам детского сада, реализующих основную общеобразовательную программу дошкольного образования зависит:</w:t>
      </w:r>
    </w:p>
    <w:p w14:paraId="0D000000">
      <w:pPr>
        <w:ind/>
        <w:contextualSpacing w:val="1"/>
        <w:rPr>
          <w:rFonts w:ascii="Times New Roman" w:hAnsi="Times New Roman"/>
        </w:rPr>
      </w:pPr>
      <w:r>
        <w:rPr>
          <w:rFonts w:ascii="Times New Roman" w:hAnsi="Times New Roman"/>
        </w:rPr>
        <w:t>- от выделенной субсидии, необходимой для достижения среднем</w:t>
      </w:r>
      <w:r>
        <w:rPr>
          <w:rFonts w:ascii="Times New Roman" w:hAnsi="Times New Roman"/>
        </w:rPr>
        <w:t>есячной заработной платы по МБДОУ детскому саду № 73, доведённой Учредителем.</w:t>
      </w:r>
    </w:p>
    <w:p w14:paraId="0E000000">
      <w:pPr>
        <w:numPr>
          <w:ilvl w:val="1"/>
          <w:numId w:val="1"/>
        </w:numPr>
        <w:ind/>
        <w:contextualSpacing w:val="1"/>
        <w:rPr>
          <w:rFonts w:ascii="Times New Roman" w:hAnsi="Times New Roman"/>
        </w:rPr>
      </w:pPr>
      <w:r>
        <w:rPr>
          <w:rFonts w:ascii="Times New Roman" w:hAnsi="Times New Roman"/>
        </w:rPr>
        <w:t>Условия оплаты труда, включая размер должностного оклада работника, компенсационных выплат и стимулирующих выплат являются обязательным для включения в трудовой договор.</w:t>
      </w:r>
    </w:p>
    <w:p w14:paraId="0F000000">
      <w:pPr>
        <w:numPr>
          <w:ilvl w:val="1"/>
          <w:numId w:val="1"/>
        </w:numPr>
        <w:ind/>
        <w:contextualSpacing w:val="1"/>
        <w:rPr>
          <w:rFonts w:ascii="Times New Roman" w:hAnsi="Times New Roman"/>
        </w:rPr>
      </w:pPr>
      <w:r>
        <w:rPr>
          <w:rFonts w:ascii="Times New Roman" w:hAnsi="Times New Roman"/>
        </w:rPr>
        <w:t>Оплата т</w:t>
      </w:r>
      <w:r>
        <w:rPr>
          <w:rFonts w:ascii="Times New Roman" w:hAnsi="Times New Roman"/>
        </w:rPr>
        <w:t>руда работников, занятых по совместительству, а также на условиях неполного рабочего дня, или неполной рабочей недели, производится пропорционально отработанному времени, либо в зависимости от выполненного объёма работ. Определение размеров заработной плат</w:t>
      </w:r>
      <w:r>
        <w:rPr>
          <w:rFonts w:ascii="Times New Roman" w:hAnsi="Times New Roman"/>
        </w:rPr>
        <w:t>ы по основной должности, а также по должности, занимаемой в порядке совместительства, производится раздельно по каждой должности (виду работ).</w:t>
      </w:r>
    </w:p>
    <w:p w14:paraId="10000000">
      <w:pPr>
        <w:numPr>
          <w:ilvl w:val="1"/>
          <w:numId w:val="1"/>
        </w:numPr>
        <w:ind/>
        <w:contextualSpacing w:val="1"/>
        <w:rPr>
          <w:rFonts w:ascii="Times New Roman" w:hAnsi="Times New Roman"/>
        </w:rPr>
      </w:pPr>
      <w:r>
        <w:rPr>
          <w:rFonts w:ascii="Times New Roman" w:hAnsi="Times New Roman"/>
        </w:rPr>
        <w:t>Заработная плата работника предельным размером не ограничивается.</w:t>
      </w:r>
    </w:p>
    <w:p w14:paraId="11000000">
      <w:pPr>
        <w:ind/>
        <w:contextualSpacing w:val="1"/>
        <w:rPr>
          <w:rFonts w:ascii="Times New Roman" w:hAnsi="Times New Roman"/>
        </w:rPr>
      </w:pPr>
    </w:p>
    <w:p w14:paraId="12000000">
      <w:pPr>
        <w:ind/>
        <w:contextualSpacing w:val="1"/>
        <w:jc w:val="center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II. </w:t>
      </w:r>
      <w:r>
        <w:rPr>
          <w:rFonts w:ascii="Times New Roman" w:hAnsi="Times New Roman"/>
          <w:b w:val="1"/>
        </w:rPr>
        <w:t>Порядок  и</w:t>
      </w:r>
      <w:r>
        <w:rPr>
          <w:rFonts w:ascii="Times New Roman" w:hAnsi="Times New Roman"/>
          <w:b w:val="1"/>
        </w:rPr>
        <w:t xml:space="preserve">  условия  оплаты  труда.</w:t>
      </w:r>
    </w:p>
    <w:p w14:paraId="13000000">
      <w:pPr>
        <w:rPr>
          <w:rFonts w:ascii="Times New Roman" w:hAnsi="Times New Roman"/>
        </w:rPr>
      </w:pPr>
      <w:r>
        <w:rPr>
          <w:rFonts w:ascii="Times New Roman" w:hAnsi="Times New Roman"/>
          <w:b w:val="1"/>
        </w:rPr>
        <w:t xml:space="preserve">   </w:t>
      </w:r>
      <w:r>
        <w:rPr>
          <w:rFonts w:ascii="Times New Roman" w:hAnsi="Times New Roman"/>
        </w:rPr>
        <w:t>2.1</w:t>
      </w:r>
      <w:r>
        <w:rPr>
          <w:rFonts w:ascii="Times New Roman" w:hAnsi="Times New Roman"/>
        </w:rPr>
        <w:t xml:space="preserve">.    </w:t>
      </w:r>
      <w:r>
        <w:rPr>
          <w:rFonts w:ascii="Times New Roman" w:hAnsi="Times New Roman"/>
        </w:rPr>
        <w:t>Должностные  оклады</w:t>
      </w:r>
      <w:r>
        <w:rPr>
          <w:rFonts w:ascii="Times New Roman" w:hAnsi="Times New Roman"/>
        </w:rPr>
        <w:t xml:space="preserve"> работников образования устанавливаются на  основе отнесения занимаемых ими должностей к квалификационным уровням профессиональных квалификационных групп (далее ПКГ), утверждённым приказом Министерства здравоохранения и социального </w:t>
      </w:r>
      <w:r>
        <w:rPr>
          <w:rFonts w:ascii="Times New Roman" w:hAnsi="Times New Roman"/>
        </w:rPr>
        <w:t>развития Российской Федерации  от 05.05.2008 г № 216 н «Об утверждении профессиональных квалификационных групп должностей работников образования».</w:t>
      </w:r>
    </w:p>
    <w:tbl>
      <w:tblPr>
        <w:tblStyle w:val="Style_1"/>
        <w:tblInd w:type="dxa" w:w="113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34"/>
        <w:gridCol w:w="1487"/>
      </w:tblGrid>
      <w:tr>
        <w:tc>
          <w:tcPr>
            <w:tcW w:type="dxa" w:w="67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Профессиональные  квалификационные  группы и квалификационные  уровни</w:t>
            </w:r>
          </w:p>
        </w:tc>
        <w:tc>
          <w:tcPr>
            <w:tcW w:type="dxa" w:w="1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Должност</w:t>
            </w:r>
            <w:r>
              <w:rPr>
                <w:rFonts w:ascii="Times New Roman" w:hAnsi="Times New Roman"/>
              </w:rPr>
              <w:t>-ной оклад, руб.</w:t>
            </w:r>
          </w:p>
        </w:tc>
      </w:tr>
      <w:tr>
        <w:tc>
          <w:tcPr>
            <w:tcW w:type="dxa" w:w="82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Профессиональная  квалификационная группа должностей работников </w:t>
            </w:r>
            <w:r>
              <w:rPr>
                <w:rFonts w:ascii="Times New Roman" w:hAnsi="Times New Roman"/>
                <w:b w:val="1"/>
                <w:sz w:val="24"/>
              </w:rPr>
              <w:t>учебно</w:t>
            </w:r>
            <w:r>
              <w:rPr>
                <w:rFonts w:ascii="Times New Roman" w:hAnsi="Times New Roman"/>
                <w:b w:val="1"/>
                <w:sz w:val="24"/>
              </w:rPr>
              <w:t xml:space="preserve"> – вспомогательного персонала первого уровня</w:t>
            </w:r>
          </w:p>
        </w:tc>
      </w:tr>
      <w:tr>
        <w:tc>
          <w:tcPr>
            <w:tcW w:type="dxa" w:w="82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квалификационный  уровень</w:t>
            </w:r>
          </w:p>
        </w:tc>
      </w:tr>
      <w:tr>
        <w:tc>
          <w:tcPr>
            <w:tcW w:type="dxa" w:w="67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Помощник  воспитателя</w:t>
            </w:r>
          </w:p>
        </w:tc>
        <w:tc>
          <w:tcPr>
            <w:tcW w:type="dxa" w:w="1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6745</w:t>
            </w:r>
          </w:p>
        </w:tc>
      </w:tr>
      <w:tr>
        <w:tc>
          <w:tcPr>
            <w:tcW w:type="dxa" w:w="82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Профессиональная  квалификационная группа должностей работников </w:t>
            </w:r>
            <w:r>
              <w:rPr>
                <w:rFonts w:ascii="Times New Roman" w:hAnsi="Times New Roman"/>
                <w:b w:val="1"/>
                <w:sz w:val="24"/>
              </w:rPr>
              <w:t>учебно</w:t>
            </w:r>
            <w:r>
              <w:rPr>
                <w:rFonts w:ascii="Times New Roman" w:hAnsi="Times New Roman"/>
                <w:b w:val="1"/>
                <w:sz w:val="24"/>
              </w:rPr>
              <w:t xml:space="preserve"> – вспомогательного персонала второго уровня</w:t>
            </w:r>
          </w:p>
        </w:tc>
      </w:tr>
      <w:tr>
        <w:tc>
          <w:tcPr>
            <w:tcW w:type="dxa" w:w="82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квалификационный  уровень</w:t>
            </w:r>
          </w:p>
        </w:tc>
      </w:tr>
      <w:tr>
        <w:tc>
          <w:tcPr>
            <w:tcW w:type="dxa" w:w="67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Младший  воспитатель</w:t>
            </w:r>
          </w:p>
          <w:p w14:paraId="1D000000">
            <w:pPr>
              <w:rPr>
                <w:rFonts w:ascii="Times New Roman" w:hAnsi="Times New Roman"/>
              </w:rPr>
            </w:pPr>
          </w:p>
          <w:p w14:paraId="1E000000">
            <w:pPr>
              <w:rPr>
                <w:rFonts w:ascii="Times New Roman" w:hAnsi="Times New Roman"/>
              </w:rPr>
            </w:pPr>
          </w:p>
        </w:tc>
        <w:tc>
          <w:tcPr>
            <w:tcW w:type="dxa" w:w="1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6745</w:t>
            </w:r>
          </w:p>
        </w:tc>
      </w:tr>
      <w:tr>
        <w:tc>
          <w:tcPr>
            <w:tcW w:type="dxa" w:w="82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bookmarkStart w:id="1" w:name="_GoBack"/>
            <w:bookmarkEnd w:id="1"/>
            <w:r>
              <w:rPr>
                <w:rFonts w:ascii="Times New Roman" w:hAnsi="Times New Roman"/>
                <w:b w:val="1"/>
                <w:sz w:val="24"/>
              </w:rPr>
              <w:t>Профессиональная  квалификационная  группа должностей  педагогических  работников</w:t>
            </w:r>
          </w:p>
        </w:tc>
      </w:tr>
      <w:tr>
        <w:tc>
          <w:tcPr>
            <w:tcW w:type="dxa" w:w="67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квалификационный  уровень</w:t>
            </w:r>
          </w:p>
        </w:tc>
        <w:tc>
          <w:tcPr>
            <w:tcW w:type="dxa" w:w="1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00000">
            <w:pPr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7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музыкальный  руководитель</w:t>
            </w:r>
          </w:p>
        </w:tc>
        <w:tc>
          <w:tcPr>
            <w:tcW w:type="dxa" w:w="1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8300</w:t>
            </w:r>
          </w:p>
        </w:tc>
      </w:tr>
      <w:tr>
        <w:tc>
          <w:tcPr>
            <w:tcW w:type="dxa" w:w="67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 </w:t>
            </w:r>
            <w:r>
              <w:rPr>
                <w:rFonts w:ascii="Times New Roman" w:hAnsi="Times New Roman"/>
              </w:rPr>
              <w:t>квалификационный  уровень</w:t>
            </w:r>
          </w:p>
        </w:tc>
        <w:tc>
          <w:tcPr>
            <w:tcW w:type="dxa" w:w="1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00000">
            <w:pPr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7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 дополнительного образования</w:t>
            </w:r>
          </w:p>
        </w:tc>
        <w:tc>
          <w:tcPr>
            <w:tcW w:type="dxa" w:w="1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8634</w:t>
            </w:r>
          </w:p>
        </w:tc>
      </w:tr>
      <w:tr>
        <w:tc>
          <w:tcPr>
            <w:tcW w:type="dxa" w:w="82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квалификационный  уровень</w:t>
            </w:r>
          </w:p>
        </w:tc>
      </w:tr>
      <w:tr>
        <w:tc>
          <w:tcPr>
            <w:tcW w:type="dxa" w:w="67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 – психолог</w:t>
            </w:r>
          </w:p>
        </w:tc>
        <w:tc>
          <w:tcPr>
            <w:tcW w:type="dxa" w:w="1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8800</w:t>
            </w:r>
          </w:p>
        </w:tc>
      </w:tr>
      <w:tr>
        <w:tc>
          <w:tcPr>
            <w:tcW w:type="dxa" w:w="67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Воспитатель </w:t>
            </w:r>
          </w:p>
        </w:tc>
        <w:tc>
          <w:tcPr>
            <w:tcW w:type="dxa" w:w="1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8800</w:t>
            </w:r>
          </w:p>
        </w:tc>
      </w:tr>
      <w:tr>
        <w:tc>
          <w:tcPr>
            <w:tcW w:type="dxa" w:w="82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квалификационный  уровень</w:t>
            </w:r>
          </w:p>
        </w:tc>
      </w:tr>
      <w:tr>
        <w:tc>
          <w:tcPr>
            <w:tcW w:type="dxa" w:w="67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Старший  воспитатель</w:t>
            </w:r>
            <w:r>
              <w:rPr>
                <w:rFonts w:ascii="Times New Roman" w:hAnsi="Times New Roman"/>
              </w:rPr>
              <w:t>;</w:t>
            </w:r>
          </w:p>
          <w:p w14:paraId="3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учитель – дефектолог;  учитель - логопед</w:t>
            </w:r>
          </w:p>
        </w:tc>
        <w:tc>
          <w:tcPr>
            <w:tcW w:type="dxa" w:w="14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8953</w:t>
            </w:r>
          </w:p>
        </w:tc>
      </w:tr>
    </w:tbl>
    <w:p w14:paraId="32000000">
      <w:pPr>
        <w:rPr>
          <w:rFonts w:ascii="Times New Roman" w:hAnsi="Times New Roman"/>
        </w:rPr>
      </w:pPr>
    </w:p>
    <w:p w14:paraId="33000000">
      <w:pPr>
        <w:tabs>
          <w:tab w:leader="none" w:pos="426" w:val="left"/>
        </w:tabs>
        <w:ind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2.2.  Должностные оклады работников устанавливаются на основе отнесения занимаемых ими общеотраслевых должностей служащих к квалификационным уровням ПКГ, утверждённым приказом Министерства здравоохранения и социального развития РФ от 29.05 2008 № 247н «</w:t>
      </w:r>
      <w:r>
        <w:rPr>
          <w:rFonts w:ascii="Times New Roman" w:hAnsi="Times New Roman"/>
        </w:rPr>
        <w:t>Об утверждении профессиональных квалификационных групп общеотраслевых должностей руководителей, специалистов и служащих»</w:t>
      </w:r>
    </w:p>
    <w:tbl>
      <w:tblPr>
        <w:tblStyle w:val="Style_1"/>
        <w:tblInd w:type="dxa" w:w="113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87"/>
        <w:gridCol w:w="1524"/>
      </w:tblGrid>
      <w:tr>
        <w:tc>
          <w:tcPr>
            <w:tcW w:type="dxa" w:w="66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Профессиональные  квалификационные группы и квалификационные  уровни</w:t>
            </w:r>
          </w:p>
        </w:tc>
        <w:tc>
          <w:tcPr>
            <w:tcW w:type="dxa" w:w="1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Должност</w:t>
            </w:r>
            <w:r>
              <w:rPr>
                <w:rFonts w:ascii="Times New Roman" w:hAnsi="Times New Roman"/>
              </w:rPr>
              <w:t>-ной оклад, руб.</w:t>
            </w:r>
          </w:p>
        </w:tc>
      </w:tr>
      <w:tr>
        <w:tc>
          <w:tcPr>
            <w:tcW w:type="dxa" w:w="66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«Общеотраслевые должности служащих перво</w:t>
            </w:r>
            <w:r>
              <w:rPr>
                <w:rFonts w:ascii="Times New Roman" w:hAnsi="Times New Roman"/>
                <w:b w:val="1"/>
                <w:sz w:val="24"/>
              </w:rPr>
              <w:t>го уровня»</w:t>
            </w:r>
          </w:p>
        </w:tc>
        <w:tc>
          <w:tcPr>
            <w:tcW w:type="dxa" w:w="1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00000">
            <w:pPr>
              <w:rPr>
                <w:rFonts w:ascii="Times New Roman" w:hAnsi="Times New Roman"/>
              </w:rPr>
            </w:pPr>
          </w:p>
        </w:tc>
      </w:tr>
      <w:tr>
        <w:tc>
          <w:tcPr>
            <w:tcW w:type="dxa" w:w="821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квалификационный  уровень</w:t>
            </w:r>
          </w:p>
        </w:tc>
      </w:tr>
      <w:tr>
        <w:tc>
          <w:tcPr>
            <w:tcW w:type="dxa" w:w="66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Делопроизводитель </w:t>
            </w:r>
          </w:p>
        </w:tc>
        <w:tc>
          <w:tcPr>
            <w:tcW w:type="dxa" w:w="15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4477</w:t>
            </w:r>
          </w:p>
        </w:tc>
      </w:tr>
    </w:tbl>
    <w:p w14:paraId="3B000000">
      <w:pPr>
        <w:rPr>
          <w:rFonts w:ascii="Times New Roman" w:hAnsi="Times New Roman"/>
        </w:rPr>
      </w:pPr>
    </w:p>
    <w:p w14:paraId="3C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2.3.    </w:t>
      </w:r>
      <w:r>
        <w:rPr>
          <w:rFonts w:ascii="Times New Roman" w:hAnsi="Times New Roman"/>
        </w:rPr>
        <w:t>Оклады  рабочих</w:t>
      </w:r>
      <w:r>
        <w:rPr>
          <w:rFonts w:ascii="Times New Roman" w:hAnsi="Times New Roman"/>
        </w:rPr>
        <w:t xml:space="preserve"> устанавливаются в зависимости от разрядов работ в соответствии с Единым </w:t>
      </w:r>
      <w:r>
        <w:rPr>
          <w:rFonts w:ascii="Times New Roman" w:hAnsi="Times New Roman"/>
        </w:rPr>
        <w:t>тарифно</w:t>
      </w:r>
      <w:r>
        <w:rPr>
          <w:rFonts w:ascii="Times New Roman" w:hAnsi="Times New Roman"/>
        </w:rPr>
        <w:t xml:space="preserve"> – квалификационным справочником работ  и профессий рабочих (ЕТКС)</w:t>
      </w:r>
    </w:p>
    <w:tbl>
      <w:tblPr>
        <w:tblStyle w:val="Style_1"/>
        <w:tblInd w:type="dxa" w:w="113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35"/>
        <w:gridCol w:w="1486"/>
      </w:tblGrid>
      <w:tr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Разряд работ в соответствии Единым </w:t>
            </w:r>
            <w:r>
              <w:rPr>
                <w:rFonts w:ascii="Times New Roman" w:hAnsi="Times New Roman"/>
              </w:rPr>
              <w:t>тарифно</w:t>
            </w:r>
            <w:r>
              <w:rPr>
                <w:rFonts w:ascii="Times New Roman" w:hAnsi="Times New Roman"/>
              </w:rPr>
              <w:t xml:space="preserve"> – квалификационным справочником работ  и профессий рабочих</w:t>
            </w:r>
          </w:p>
        </w:tc>
        <w:tc>
          <w:tcPr>
            <w:tcW w:type="dxa" w:w="14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Оклад, </w:t>
            </w:r>
          </w:p>
          <w:p w14:paraId="3F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Руб.</w:t>
            </w:r>
          </w:p>
        </w:tc>
      </w:tr>
      <w:tr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разряд работ   -  подсобный рабочий, дворник, сторож</w:t>
            </w:r>
          </w:p>
        </w:tc>
        <w:tc>
          <w:tcPr>
            <w:tcW w:type="dxa" w:w="14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4300</w:t>
            </w:r>
          </w:p>
        </w:tc>
      </w:tr>
      <w:tr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 разряд работ -  кладовщик, кастелянша, рабочий по стирке и ремонту </w:t>
            </w:r>
            <w:r>
              <w:rPr>
                <w:rFonts w:ascii="Times New Roman" w:hAnsi="Times New Roman"/>
              </w:rPr>
              <w:t>спецодежды, уборщик производственных и служебных помещений</w:t>
            </w:r>
          </w:p>
        </w:tc>
        <w:tc>
          <w:tcPr>
            <w:tcW w:type="dxa" w:w="14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4447</w:t>
            </w:r>
          </w:p>
        </w:tc>
      </w:tr>
      <w:tr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разряд работ – рабочий по комплексному обслуживанию и ремонту зданий</w:t>
            </w:r>
          </w:p>
        </w:tc>
        <w:tc>
          <w:tcPr>
            <w:tcW w:type="dxa" w:w="14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4670</w:t>
            </w:r>
          </w:p>
        </w:tc>
      </w:tr>
      <w:tr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разряд работ   – повар</w:t>
            </w:r>
          </w:p>
        </w:tc>
        <w:tc>
          <w:tcPr>
            <w:tcW w:type="dxa" w:w="14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6597</w:t>
            </w:r>
          </w:p>
        </w:tc>
      </w:tr>
      <w:tr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разряд работ   – повар</w:t>
            </w:r>
          </w:p>
        </w:tc>
        <w:tc>
          <w:tcPr>
            <w:tcW w:type="dxa" w:w="14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6729</w:t>
            </w:r>
          </w:p>
        </w:tc>
      </w:tr>
    </w:tbl>
    <w:p w14:paraId="4A000000">
      <w:pPr>
        <w:tabs>
          <w:tab w:leader="none" w:pos="284" w:val="left"/>
        </w:tabs>
        <w:ind/>
        <w:rPr>
          <w:rFonts w:ascii="Times New Roman" w:hAnsi="Times New Roman"/>
        </w:rPr>
      </w:pPr>
    </w:p>
    <w:p w14:paraId="4B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2.4.   Должностные оклады руководителей </w:t>
      </w:r>
      <w:r>
        <w:rPr>
          <w:rFonts w:ascii="Times New Roman" w:hAnsi="Times New Roman"/>
        </w:rPr>
        <w:t>организаций образования устанавливаются в зависимости от группы по оплате труда руководителей в следующих размерах:</w:t>
      </w:r>
    </w:p>
    <w:p w14:paraId="4C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tbl>
      <w:tblPr>
        <w:tblStyle w:val="Style_1"/>
        <w:tblInd w:type="dxa" w:w="113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68"/>
        <w:gridCol w:w="1243"/>
        <w:gridCol w:w="1519"/>
        <w:gridCol w:w="1243"/>
        <w:gridCol w:w="1348"/>
      </w:tblGrid>
      <w:tr>
        <w:tc>
          <w:tcPr>
            <w:tcW w:type="dxa" w:w="286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должностей</w:t>
            </w:r>
          </w:p>
        </w:tc>
        <w:tc>
          <w:tcPr>
            <w:tcW w:type="dxa" w:w="535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Должностные оклады по группам оплаты труда руководителей, (руб.)</w:t>
            </w:r>
          </w:p>
        </w:tc>
      </w:tr>
      <w:tr>
        <w:tc>
          <w:tcPr>
            <w:tcW w:type="dxa" w:w="28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</w:t>
            </w:r>
          </w:p>
        </w:tc>
        <w:tc>
          <w:tcPr>
            <w:tcW w:type="dxa" w:w="15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</w:t>
            </w: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III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</w:t>
            </w:r>
          </w:p>
        </w:tc>
      </w:tr>
      <w:tr>
        <w:tc>
          <w:tcPr>
            <w:tcW w:type="dxa" w:w="28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организации</w:t>
            </w:r>
          </w:p>
          <w:p w14:paraId="54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образования </w:t>
            </w: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18 147</w:t>
            </w:r>
          </w:p>
        </w:tc>
        <w:tc>
          <w:tcPr>
            <w:tcW w:type="dxa" w:w="15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16 362</w:t>
            </w: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14 674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13 046</w:t>
            </w:r>
          </w:p>
        </w:tc>
      </w:tr>
    </w:tbl>
    <w:p w14:paraId="59000000">
      <w:pPr>
        <w:rPr>
          <w:rFonts w:ascii="Times New Roman" w:hAnsi="Times New Roman"/>
        </w:rPr>
      </w:pPr>
    </w:p>
    <w:p w14:paraId="5A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2.5.   </w:t>
      </w:r>
      <w:r>
        <w:rPr>
          <w:rFonts w:ascii="Times New Roman" w:hAnsi="Times New Roman"/>
        </w:rPr>
        <w:t>Должностные  оклады</w:t>
      </w:r>
      <w:r>
        <w:rPr>
          <w:rFonts w:ascii="Times New Roman" w:hAnsi="Times New Roman"/>
        </w:rPr>
        <w:t xml:space="preserve"> заместителя руководителя, главного бухгалтера устанавливаются на 10 – 30 % ниже должностного оклада руководителя.</w:t>
      </w:r>
    </w:p>
    <w:p w14:paraId="5B000000">
      <w:pPr>
        <w:ind/>
        <w:jc w:val="center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III. </w:t>
      </w:r>
      <w:r>
        <w:rPr>
          <w:rFonts w:ascii="Times New Roman" w:hAnsi="Times New Roman"/>
          <w:b w:val="1"/>
        </w:rPr>
        <w:t>Порядок  и</w:t>
      </w:r>
      <w:r>
        <w:rPr>
          <w:rFonts w:ascii="Times New Roman" w:hAnsi="Times New Roman"/>
          <w:b w:val="1"/>
        </w:rPr>
        <w:t xml:space="preserve">  условия  установления  компенсационных  выплат.</w:t>
      </w:r>
    </w:p>
    <w:p w14:paraId="5C000000">
      <w:pPr>
        <w:rPr>
          <w:rFonts w:ascii="Times New Roman" w:hAnsi="Times New Roman"/>
        </w:rPr>
      </w:pPr>
      <w:r>
        <w:rPr>
          <w:rFonts w:ascii="Times New Roman" w:hAnsi="Times New Roman"/>
        </w:rPr>
        <w:t>3.1.   К компенсационным выплатам относятся следующие доплаты и надбавки:</w:t>
      </w:r>
    </w:p>
    <w:p w14:paraId="5D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3.1.1.  Доплата работникам (рабочим), занятым на работах с вредными и (или) опасными условиями труда – устанавливается по результатам аттестации рабочих мест.</w:t>
      </w:r>
    </w:p>
    <w:p w14:paraId="5E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Работ</w:t>
      </w:r>
      <w:r>
        <w:rPr>
          <w:rFonts w:ascii="Times New Roman" w:hAnsi="Times New Roman"/>
        </w:rPr>
        <w:t>никам (рабочим), занятым на тяжёлых работах и работах с вредными условиями труда, производится доплата в размере 4 % к окладу за фактически отработанное время в этих условиях.</w:t>
      </w:r>
    </w:p>
    <w:p w14:paraId="5F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3.1.2.  Надбавка работникам – молодым специалистам устанавливается при устрой</w:t>
      </w:r>
      <w:r>
        <w:rPr>
          <w:rFonts w:ascii="Times New Roman" w:hAnsi="Times New Roman"/>
        </w:rPr>
        <w:t>стве впервые на работу на период первых трех лет работы после окончания образовательной организации высшего образования или профессиональной образовательной организации по программам   подготовки специалистов среднего звена за работу в организациях   образ</w:t>
      </w:r>
      <w:r>
        <w:rPr>
          <w:rFonts w:ascii="Times New Roman" w:hAnsi="Times New Roman"/>
        </w:rPr>
        <w:t>ования в размере 100% от должностного оклада.</w:t>
      </w:r>
    </w:p>
    <w:p w14:paraId="60000000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Под молодым специалистом понимается работник в возрасте до 35 лет включительно.</w:t>
      </w:r>
    </w:p>
    <w:p w14:paraId="61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3.1.3.  Доплата за </w:t>
      </w:r>
      <w:r>
        <w:rPr>
          <w:rFonts w:ascii="Times New Roman" w:hAnsi="Times New Roman"/>
        </w:rPr>
        <w:t>особые  условия</w:t>
      </w:r>
      <w:r>
        <w:rPr>
          <w:rFonts w:ascii="Times New Roman" w:hAnsi="Times New Roman"/>
        </w:rPr>
        <w:t xml:space="preserve">  труда – в размере 10% должностного оклада педагогическим и другим работникам за работу в с</w:t>
      </w:r>
      <w:r>
        <w:rPr>
          <w:rFonts w:ascii="Times New Roman" w:hAnsi="Times New Roman"/>
        </w:rPr>
        <w:t>пециальных (коррекционных) образовательных учреждениях для воспитанников с отклонением в развитии (в том числе с задержкой психического развития).</w:t>
      </w:r>
    </w:p>
    <w:p w14:paraId="62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3.1.4.  Доплата за совмещение профессий (должностей) – устанавливается работнику (рабочему) при совмещении</w:t>
      </w:r>
      <w:r>
        <w:rPr>
          <w:rFonts w:ascii="Times New Roman" w:hAnsi="Times New Roman"/>
        </w:rPr>
        <w:t xml:space="preserve"> им профессий (должностей). Размер доплаты и срок, на который она устанавливается, определяется по соглашению сторон трудового договора с учётом содержания и (или) объёма дополнительной работы.</w:t>
      </w:r>
    </w:p>
    <w:p w14:paraId="63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3.1.5.  Доплата за расширение зон обслуживания – устанавлив</w:t>
      </w:r>
      <w:r>
        <w:rPr>
          <w:rFonts w:ascii="Times New Roman" w:hAnsi="Times New Roman"/>
        </w:rPr>
        <w:t>ается работнику (рабочему) при расширении зон обслуживания.  Размер доплаты и срок, на который она устанавливается, определяется по соглашению сторон трудового договора с учётом содержания и (или) объёма дополнительной работы.</w:t>
      </w:r>
    </w:p>
    <w:p w14:paraId="64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3.1.6.   Доплата за увеличе</w:t>
      </w:r>
      <w:r>
        <w:rPr>
          <w:rFonts w:ascii="Times New Roman" w:hAnsi="Times New Roman"/>
        </w:rPr>
        <w:t xml:space="preserve">ние объёма работы или исполнение обязанностей временно отсутствующего работника (рабочего) без освобождения от работы, определённой трудовым договором устанавливается работнику (рабочему) в случае увеличения ему установленного объёма </w:t>
      </w:r>
      <w:r>
        <w:rPr>
          <w:rFonts w:ascii="Times New Roman" w:hAnsi="Times New Roman"/>
        </w:rPr>
        <w:t>работы  или</w:t>
      </w:r>
      <w:r>
        <w:rPr>
          <w:rFonts w:ascii="Times New Roman" w:hAnsi="Times New Roman"/>
        </w:rPr>
        <w:t xml:space="preserve"> возложения</w:t>
      </w:r>
      <w:r>
        <w:rPr>
          <w:rFonts w:ascii="Times New Roman" w:hAnsi="Times New Roman"/>
        </w:rPr>
        <w:t xml:space="preserve"> на него обязанностей  временно отсутствующего работника, без освобождения от работы, определённой трудовым договором. Размер доплаты и срок, на который она устанавливается, определяется по соглашению сторон трудового договора с учётом содержания и (или) о</w:t>
      </w:r>
      <w:r>
        <w:rPr>
          <w:rFonts w:ascii="Times New Roman" w:hAnsi="Times New Roman"/>
        </w:rPr>
        <w:t>бъёма дополнительной работы.</w:t>
      </w:r>
    </w:p>
    <w:p w14:paraId="65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3.1.7.  Доплата за работу в ночное время – производится работникам (рабочим), за каждый час работы в ночное время в размере 20 % часовой ставки должностного оклада, рассчитанного за каждый час работы в ночное время. Ночным сч</w:t>
      </w:r>
      <w:r>
        <w:rPr>
          <w:rFonts w:ascii="Times New Roman" w:hAnsi="Times New Roman"/>
        </w:rPr>
        <w:t>итается время с 22 часов до 6 часов.</w:t>
      </w:r>
    </w:p>
    <w:p w14:paraId="66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3.1.8.   Доплата за работу в выходные и нерабочие праздничные дни -производится работникам (рабочим), привлекаемым к работе в выходные и нерабочие праздничные дни, в соответствии со ст. 153 Трудового Кодекса Российской Федерации.</w:t>
      </w:r>
    </w:p>
    <w:p w14:paraId="67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3.1.9.   Доплата за св</w:t>
      </w:r>
      <w:r>
        <w:rPr>
          <w:rFonts w:ascii="Times New Roman" w:hAnsi="Times New Roman"/>
        </w:rPr>
        <w:t>ерхурочную работу работникам (рабочим), привлекаемым к сверхурочной работе в соответствии с трудовым законодательством – производится за первые два часа работы не менее чем в полуторном размере, за последующие часы – не менее чем в двойном размере.</w:t>
      </w:r>
    </w:p>
    <w:p w14:paraId="68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3.1.1</w:t>
      </w:r>
      <w:r>
        <w:rPr>
          <w:rFonts w:ascii="Times New Roman" w:hAnsi="Times New Roman"/>
        </w:rPr>
        <w:t>0.  Надбавка за квалификационную категорию – устанавливается с целью стимулирования работников муниципального учреждения образования к повышению профессиональной квалификации и компетентности в следующих размерах: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651"/>
        <w:gridCol w:w="2579"/>
        <w:gridCol w:w="3115"/>
      </w:tblGrid>
      <w:tr>
        <w:trPr>
          <w:trHeight w:hRule="atLeast" w:val="330"/>
        </w:trPr>
        <w:tc>
          <w:tcPr>
            <w:tcW w:type="dxa" w:w="365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ПКГ</w:t>
            </w:r>
          </w:p>
        </w:tc>
        <w:tc>
          <w:tcPr>
            <w:tcW w:type="dxa" w:w="569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Надбавка за квалификационную категорию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руб</w:t>
            </w:r>
          </w:p>
        </w:tc>
      </w:tr>
      <w:tr>
        <w:trPr>
          <w:trHeight w:hRule="atLeast" w:val="240"/>
        </w:trPr>
        <w:tc>
          <w:tcPr>
            <w:tcW w:type="dxa" w:w="36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2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высшая</w:t>
            </w:r>
          </w:p>
        </w:tc>
        <w:tc>
          <w:tcPr>
            <w:tcW w:type="dxa" w:w="3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00000">
            <w:pPr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</w:t>
            </w:r>
          </w:p>
        </w:tc>
      </w:tr>
      <w:tr>
        <w:tc>
          <w:tcPr>
            <w:tcW w:type="dxa" w:w="3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квалификационный уровень</w:t>
            </w:r>
          </w:p>
        </w:tc>
        <w:tc>
          <w:tcPr>
            <w:tcW w:type="dxa" w:w="2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4 888</w:t>
            </w:r>
          </w:p>
        </w:tc>
        <w:tc>
          <w:tcPr>
            <w:tcW w:type="dxa" w:w="3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2 793</w:t>
            </w:r>
          </w:p>
        </w:tc>
      </w:tr>
      <w:tr>
        <w:tc>
          <w:tcPr>
            <w:tcW w:type="dxa" w:w="3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квалификационный уровень</w:t>
            </w:r>
          </w:p>
        </w:tc>
        <w:tc>
          <w:tcPr>
            <w:tcW w:type="dxa" w:w="2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5 085</w:t>
            </w:r>
          </w:p>
        </w:tc>
        <w:tc>
          <w:tcPr>
            <w:tcW w:type="dxa" w:w="3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2 906</w:t>
            </w:r>
          </w:p>
        </w:tc>
      </w:tr>
      <w:tr>
        <w:tc>
          <w:tcPr>
            <w:tcW w:type="dxa" w:w="3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квалификационный уровень</w:t>
            </w:r>
          </w:p>
        </w:tc>
        <w:tc>
          <w:tcPr>
            <w:tcW w:type="dxa" w:w="2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5 183</w:t>
            </w:r>
          </w:p>
        </w:tc>
        <w:tc>
          <w:tcPr>
            <w:tcW w:type="dxa" w:w="3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2 962</w:t>
            </w:r>
          </w:p>
        </w:tc>
      </w:tr>
      <w:tr>
        <w:tc>
          <w:tcPr>
            <w:tcW w:type="dxa" w:w="36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квалификационный уровень</w:t>
            </w:r>
          </w:p>
        </w:tc>
        <w:tc>
          <w:tcPr>
            <w:tcW w:type="dxa" w:w="2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5 273</w:t>
            </w:r>
          </w:p>
        </w:tc>
        <w:tc>
          <w:tcPr>
            <w:tcW w:type="dxa" w:w="31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00000">
            <w:pPr>
              <w:ind/>
              <w:jc w:val="center"/>
              <w:rPr>
                <w:rFonts w:ascii="Times New Roman" w:hAnsi="Times New Roman"/>
                <w:b w:val="1"/>
              </w:rPr>
            </w:pPr>
            <w:r>
              <w:rPr>
                <w:rFonts w:ascii="Times New Roman" w:hAnsi="Times New Roman"/>
                <w:b w:val="1"/>
              </w:rPr>
              <w:t>3 013</w:t>
            </w:r>
          </w:p>
        </w:tc>
      </w:tr>
    </w:tbl>
    <w:p w14:paraId="79000000">
      <w:pPr>
        <w:ind/>
        <w:jc w:val="center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IV. Порядок и </w:t>
      </w:r>
      <w:r>
        <w:rPr>
          <w:rFonts w:ascii="Times New Roman" w:hAnsi="Times New Roman"/>
          <w:b w:val="1"/>
        </w:rPr>
        <w:t>условия  установления</w:t>
      </w:r>
      <w:r>
        <w:rPr>
          <w:rFonts w:ascii="Times New Roman" w:hAnsi="Times New Roman"/>
          <w:b w:val="1"/>
        </w:rPr>
        <w:t xml:space="preserve"> стимулирующих выплат.</w:t>
      </w:r>
    </w:p>
    <w:p w14:paraId="7A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4.1.    К </w:t>
      </w:r>
      <w:r>
        <w:rPr>
          <w:rFonts w:ascii="Times New Roman" w:hAnsi="Times New Roman"/>
        </w:rPr>
        <w:t>стимулирующим выплатам относятся следующие надбавки, доплаты и иные поощрительные выплаты:</w:t>
      </w:r>
    </w:p>
    <w:p w14:paraId="7B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4.1.1. Надбавка работникам за присвоение учёной </w:t>
      </w:r>
      <w:r>
        <w:rPr>
          <w:rFonts w:ascii="Times New Roman" w:hAnsi="Times New Roman"/>
        </w:rPr>
        <w:t>степени  по</w:t>
      </w:r>
      <w:r>
        <w:rPr>
          <w:rFonts w:ascii="Times New Roman" w:hAnsi="Times New Roman"/>
        </w:rPr>
        <w:t xml:space="preserve"> соответствующему профилю, почётного звания  по соответствующему профилю и награждения почётным знаком  по</w:t>
      </w:r>
      <w:r>
        <w:rPr>
          <w:rFonts w:ascii="Times New Roman" w:hAnsi="Times New Roman"/>
        </w:rPr>
        <w:t xml:space="preserve"> соответствующему профилю, нагрудным знаком по соответствующему профилю устанавливается в следующих размерах:</w:t>
      </w:r>
    </w:p>
    <w:p w14:paraId="7C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- 20 % от должностного оклада при </w:t>
      </w:r>
      <w:r>
        <w:rPr>
          <w:rFonts w:ascii="Times New Roman" w:hAnsi="Times New Roman"/>
        </w:rPr>
        <w:t>наличии  учёной</w:t>
      </w:r>
      <w:r>
        <w:rPr>
          <w:rFonts w:ascii="Times New Roman" w:hAnsi="Times New Roman"/>
        </w:rPr>
        <w:t xml:space="preserve"> степени доктора наук по соответствующему профилю;</w:t>
      </w:r>
    </w:p>
    <w:p w14:paraId="7D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- 10 % от должностного оклада </w:t>
      </w:r>
      <w:r>
        <w:rPr>
          <w:rFonts w:ascii="Times New Roman" w:hAnsi="Times New Roman"/>
        </w:rPr>
        <w:t>при наличии степени кандидата наук по соответствующему профилю;</w:t>
      </w:r>
    </w:p>
    <w:p w14:paraId="7E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- 20 % от должностного оклада за наличие звания «Заслуженный учитель РСФСР», «Заслуженный учитель Российской Федерации»;</w:t>
      </w:r>
    </w:p>
    <w:p w14:paraId="7F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- 10 % от должностного оклада – за награждение значком «Отличник просвещения СССР», значком «Отличник народного просвещения», знаком «Почётный работник воспитания и просвещения Российской Федерации», медалью К.Д. Ушинского, наличие звания Тверской о</w:t>
      </w:r>
      <w:r>
        <w:rPr>
          <w:rFonts w:ascii="Times New Roman" w:hAnsi="Times New Roman"/>
        </w:rPr>
        <w:t>бласти «Почётный работник науки и образования Тверской области».</w:t>
      </w:r>
    </w:p>
    <w:p w14:paraId="80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При одновременном возникновении у работника права на установление </w:t>
      </w:r>
      <w:r>
        <w:rPr>
          <w:rFonts w:ascii="Times New Roman" w:hAnsi="Times New Roman"/>
        </w:rPr>
        <w:t>надбавки  по</w:t>
      </w:r>
      <w:r>
        <w:rPr>
          <w:rFonts w:ascii="Times New Roman" w:hAnsi="Times New Roman"/>
        </w:rPr>
        <w:t xml:space="preserve"> нескольким основаниям за присвоение учёной степени по соответствующему профилю, надбавка устанавли</w:t>
      </w:r>
      <w:r>
        <w:rPr>
          <w:rFonts w:ascii="Times New Roman" w:hAnsi="Times New Roman"/>
        </w:rPr>
        <w:t>вается по основной должности по одному из оснований по выбору работника.</w:t>
      </w:r>
    </w:p>
    <w:p w14:paraId="81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При одновременном возникновении у работника права на установление </w:t>
      </w:r>
      <w:r>
        <w:rPr>
          <w:rFonts w:ascii="Times New Roman" w:hAnsi="Times New Roman"/>
        </w:rPr>
        <w:t>надбавки  по</w:t>
      </w:r>
      <w:r>
        <w:rPr>
          <w:rFonts w:ascii="Times New Roman" w:hAnsi="Times New Roman"/>
        </w:rPr>
        <w:t xml:space="preserve"> нескольким основаниям за присвоение почётного звания,  награждения почётным знаком, нагруд</w:t>
      </w:r>
      <w:r>
        <w:rPr>
          <w:rFonts w:ascii="Times New Roman" w:hAnsi="Times New Roman"/>
        </w:rPr>
        <w:t xml:space="preserve">ным знаком по соответствующему </w:t>
      </w:r>
      <w:r>
        <w:rPr>
          <w:rFonts w:ascii="Times New Roman" w:hAnsi="Times New Roman"/>
        </w:rPr>
        <w:t>профилю надбавка устанавливается по основной должности по одному из оснований по выбору работника.</w:t>
      </w:r>
    </w:p>
    <w:p w14:paraId="82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4.1.2.  Персональная поощрительная выплата устанавливается работнику (рабочему) с учётом уровня его профессиональной подгото</w:t>
      </w:r>
      <w:r>
        <w:rPr>
          <w:rFonts w:ascii="Times New Roman" w:hAnsi="Times New Roman"/>
        </w:rPr>
        <w:t xml:space="preserve">вки, сложности, </w:t>
      </w:r>
      <w:r>
        <w:rPr>
          <w:rFonts w:ascii="Times New Roman" w:hAnsi="Times New Roman"/>
        </w:rPr>
        <w:t>важности  выполняемой</w:t>
      </w:r>
      <w:r>
        <w:rPr>
          <w:rFonts w:ascii="Times New Roman" w:hAnsi="Times New Roman"/>
        </w:rPr>
        <w:t xml:space="preserve">  работы, степени самостоятельности и ответственности при выполнении поставленных задач и других факторов.</w:t>
      </w:r>
    </w:p>
    <w:p w14:paraId="83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Выплата устанавливается на определённый срок в течение календарного года. Решение об её установлени</w:t>
      </w:r>
      <w:r>
        <w:rPr>
          <w:rFonts w:ascii="Times New Roman" w:hAnsi="Times New Roman"/>
        </w:rPr>
        <w:t>и и размерах, но не более чем 200 % от должностного оклада (оклада), принимается руководителем с учётом обеспечения указанных выплат финансовыми средствами.</w:t>
      </w:r>
    </w:p>
    <w:p w14:paraId="84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4.1.3.  Надбавка за выполнение важных (особо важных) и ответственных (особо ответственных) работ</w:t>
      </w:r>
      <w:r>
        <w:rPr>
          <w:rFonts w:ascii="Times New Roman" w:hAnsi="Times New Roman"/>
        </w:rPr>
        <w:t xml:space="preserve"> устанавливается по решению руководителя высококвалифицированным рабочим (тарифицированным не ниже 6 разряда ЕТКС) и </w:t>
      </w:r>
      <w:r>
        <w:rPr>
          <w:rFonts w:ascii="Times New Roman" w:hAnsi="Times New Roman"/>
        </w:rPr>
        <w:t>привлекаемым  для</w:t>
      </w:r>
      <w:r>
        <w:rPr>
          <w:rFonts w:ascii="Times New Roman" w:hAnsi="Times New Roman"/>
        </w:rPr>
        <w:t xml:space="preserve"> выполнения важных (особо ответственных)  работ в размере  до 20 % от оклада.</w:t>
      </w:r>
    </w:p>
    <w:p w14:paraId="85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4.1.4.  Поощрительная выплата по итогам р</w:t>
      </w:r>
      <w:r>
        <w:rPr>
          <w:rFonts w:ascii="Times New Roman" w:hAnsi="Times New Roman"/>
        </w:rPr>
        <w:t xml:space="preserve">аботы (за месяц, квартал, полугодие, год) работникам (рабочим) муниципального учреждения устанавливается с учётом выполнения </w:t>
      </w:r>
      <w:r>
        <w:rPr>
          <w:rFonts w:ascii="Times New Roman" w:hAnsi="Times New Roman"/>
        </w:rPr>
        <w:t>качественных  и</w:t>
      </w:r>
      <w:r>
        <w:rPr>
          <w:rFonts w:ascii="Times New Roman" w:hAnsi="Times New Roman"/>
        </w:rPr>
        <w:t xml:space="preserve"> количественных показателей, входящих в систему оценки деятельности работников и рабочих учреждения в пределах утвер</w:t>
      </w:r>
      <w:r>
        <w:rPr>
          <w:rFonts w:ascii="Times New Roman" w:hAnsi="Times New Roman"/>
        </w:rPr>
        <w:t>ждённого фонда оплаты труда.</w:t>
      </w:r>
    </w:p>
    <w:p w14:paraId="86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4.1.5.   Единовременная поощрительная выплата устанавливается работникам и рабочим к профессиональным праздникам, в связи с Международным женским днём 8 </w:t>
      </w:r>
      <w:r>
        <w:rPr>
          <w:rFonts w:ascii="Times New Roman" w:hAnsi="Times New Roman"/>
        </w:rPr>
        <w:t xml:space="preserve">марта,   </w:t>
      </w:r>
      <w:r>
        <w:rPr>
          <w:rFonts w:ascii="Times New Roman" w:hAnsi="Times New Roman"/>
        </w:rPr>
        <w:t>в связи с юбилейными датами (50, 55, 60 и т.д. лет).</w:t>
      </w:r>
    </w:p>
    <w:p w14:paraId="87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4.1.6.  </w:t>
      </w:r>
      <w:r>
        <w:rPr>
          <w:rFonts w:ascii="Times New Roman" w:hAnsi="Times New Roman"/>
        </w:rPr>
        <w:t xml:space="preserve"> Поощрительная выплата за высокие результаты работы с целью поощрения работников и рабочих учреждения. Основными показателями для осуществления указанных выплат при оценке труда работников и </w:t>
      </w:r>
      <w:r>
        <w:rPr>
          <w:rFonts w:ascii="Times New Roman" w:hAnsi="Times New Roman"/>
        </w:rPr>
        <w:t>рабочих  являются</w:t>
      </w:r>
      <w:r>
        <w:rPr>
          <w:rFonts w:ascii="Times New Roman" w:hAnsi="Times New Roman"/>
        </w:rPr>
        <w:t>:</w:t>
      </w:r>
    </w:p>
    <w:p w14:paraId="88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- эффективность и качество проце</w:t>
      </w:r>
      <w:r>
        <w:rPr>
          <w:rFonts w:ascii="Times New Roman" w:hAnsi="Times New Roman"/>
        </w:rPr>
        <w:t>сса обучения</w:t>
      </w:r>
    </w:p>
    <w:p w14:paraId="89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- эффективность и качество процесса воспитания</w:t>
      </w:r>
    </w:p>
    <w:p w14:paraId="8A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- эффективность обеспечения условий, направленных на </w:t>
      </w:r>
      <w:r>
        <w:rPr>
          <w:rFonts w:ascii="Times New Roman" w:hAnsi="Times New Roman"/>
        </w:rPr>
        <w:t>здоровьесбережение</w:t>
      </w:r>
      <w:r>
        <w:rPr>
          <w:rFonts w:ascii="Times New Roman" w:hAnsi="Times New Roman"/>
        </w:rPr>
        <w:t xml:space="preserve"> и безопасность образовательного процесса</w:t>
      </w:r>
    </w:p>
    <w:p w14:paraId="8B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- использование информационных технологий</w:t>
      </w:r>
      <w:r>
        <w:rPr>
          <w:rFonts w:ascii="Times New Roman" w:hAnsi="Times New Roman"/>
        </w:rPr>
        <w:t xml:space="preserve"> в процессе обучения и воспитания</w:t>
      </w:r>
    </w:p>
    <w:p w14:paraId="8C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- доступность качественного образования</w:t>
      </w:r>
    </w:p>
    <w:p w14:paraId="8D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4.2. Стимулирующие выплаты педагогическим работникам, </w:t>
      </w:r>
      <w:r>
        <w:rPr>
          <w:rFonts w:ascii="Times New Roman" w:hAnsi="Times New Roman"/>
        </w:rPr>
        <w:t>учебно</w:t>
      </w:r>
      <w:r>
        <w:rPr>
          <w:rFonts w:ascii="Times New Roman" w:hAnsi="Times New Roman"/>
        </w:rPr>
        <w:t xml:space="preserve"> – вспомогательному персоналу, младшему обслуживающему персоналу рассматриваются и устанавливаются в соотв</w:t>
      </w:r>
      <w:r>
        <w:rPr>
          <w:rFonts w:ascii="Times New Roman" w:hAnsi="Times New Roman"/>
        </w:rPr>
        <w:t>етствии с данным Положением комиссией по распределению стимулирующих выплат. На основании решения комиссии по распределению стимулирующих выплат заведующий МБДОУ детского сада № 73 издаёт соответствующий приказ.</w:t>
      </w:r>
    </w:p>
    <w:p w14:paraId="8E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Регламент работы комиссии предс</w:t>
      </w:r>
      <w:r>
        <w:rPr>
          <w:rFonts w:ascii="Times New Roman" w:hAnsi="Times New Roman"/>
        </w:rPr>
        <w:t>тавлен в Положении «О комиссии       по распределению стимулирующих выплат».</w:t>
      </w:r>
    </w:p>
    <w:p w14:paraId="8F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4.3. Стимулирующие выплаты заместителю заведующего по АХР, старшему воспитателю могут устанавливаться по решению заведующего МБДОУ детского сада № 73.</w:t>
      </w:r>
    </w:p>
    <w:p w14:paraId="90000000">
      <w:pPr>
        <w:rPr>
          <w:rFonts w:ascii="Times New Roman" w:hAnsi="Times New Roman"/>
        </w:rPr>
      </w:pPr>
      <w:r>
        <w:rPr>
          <w:rFonts w:ascii="Times New Roman" w:hAnsi="Times New Roman"/>
        </w:rPr>
        <w:t>4.4. Стимулирующие вы</w:t>
      </w:r>
      <w:r>
        <w:rPr>
          <w:rFonts w:ascii="Times New Roman" w:hAnsi="Times New Roman"/>
        </w:rPr>
        <w:t>платы не производятся:</w:t>
      </w:r>
    </w:p>
    <w:p w14:paraId="91000000">
      <w:pPr>
        <w:numPr>
          <w:ilvl w:val="0"/>
          <w:numId w:val="2"/>
        </w:numPr>
        <w:ind/>
        <w:contextualSpacing w:val="1"/>
        <w:rPr>
          <w:rFonts w:ascii="Times New Roman" w:hAnsi="Times New Roman"/>
        </w:rPr>
      </w:pPr>
      <w:r>
        <w:rPr>
          <w:rFonts w:ascii="Times New Roman" w:hAnsi="Times New Roman"/>
        </w:rPr>
        <w:t>За нарушение правил внутреннего трудового распорядка</w:t>
      </w:r>
    </w:p>
    <w:p w14:paraId="92000000">
      <w:pPr>
        <w:numPr>
          <w:ilvl w:val="0"/>
          <w:numId w:val="2"/>
        </w:numPr>
        <w:ind/>
        <w:contextualSpacing w:val="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 несоблюдение </w:t>
      </w:r>
      <w:r>
        <w:rPr>
          <w:rFonts w:ascii="Times New Roman" w:hAnsi="Times New Roman"/>
        </w:rPr>
        <w:t>санитарно</w:t>
      </w:r>
      <w:r>
        <w:rPr>
          <w:rFonts w:ascii="Times New Roman" w:hAnsi="Times New Roman"/>
        </w:rPr>
        <w:t xml:space="preserve"> – эпидемиологического режима</w:t>
      </w:r>
    </w:p>
    <w:p w14:paraId="93000000">
      <w:pPr>
        <w:numPr>
          <w:ilvl w:val="0"/>
          <w:numId w:val="2"/>
        </w:numPr>
        <w:ind/>
        <w:contextualSpacing w:val="1"/>
        <w:rPr>
          <w:rFonts w:ascii="Times New Roman" w:hAnsi="Times New Roman"/>
        </w:rPr>
      </w:pPr>
      <w:r>
        <w:rPr>
          <w:rFonts w:ascii="Times New Roman" w:hAnsi="Times New Roman"/>
        </w:rPr>
        <w:t>За несоблюдение правил по охране труда и пожарной безопасности</w:t>
      </w:r>
    </w:p>
    <w:p w14:paraId="94000000">
      <w:pPr>
        <w:numPr>
          <w:ilvl w:val="0"/>
          <w:numId w:val="2"/>
        </w:numPr>
        <w:ind/>
        <w:contextualSpacing w:val="1"/>
        <w:rPr>
          <w:rFonts w:ascii="Times New Roman" w:hAnsi="Times New Roman"/>
        </w:rPr>
      </w:pPr>
      <w:r>
        <w:rPr>
          <w:rFonts w:ascii="Times New Roman" w:hAnsi="Times New Roman"/>
        </w:rPr>
        <w:t>За невыполнение должностных инструкций</w:t>
      </w:r>
    </w:p>
    <w:p w14:paraId="95000000">
      <w:pPr>
        <w:numPr>
          <w:ilvl w:val="0"/>
          <w:numId w:val="2"/>
        </w:numPr>
        <w:ind/>
        <w:contextualSpacing w:val="1"/>
        <w:rPr>
          <w:rFonts w:ascii="Times New Roman" w:hAnsi="Times New Roman"/>
        </w:rPr>
      </w:pPr>
      <w:r>
        <w:rPr>
          <w:rFonts w:ascii="Times New Roman" w:hAnsi="Times New Roman"/>
        </w:rPr>
        <w:t>При наличии устных и пи</w:t>
      </w:r>
      <w:r>
        <w:rPr>
          <w:rFonts w:ascii="Times New Roman" w:hAnsi="Times New Roman"/>
        </w:rPr>
        <w:t>сьменных жалоб родителей (законных представителей)</w:t>
      </w:r>
    </w:p>
    <w:p w14:paraId="96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4.6.   Стимулирующие выплаты могут устанавливаться </w:t>
      </w:r>
    </w:p>
    <w:p w14:paraId="97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- в </w:t>
      </w:r>
      <w:r>
        <w:rPr>
          <w:rFonts w:ascii="Times New Roman" w:hAnsi="Times New Roman"/>
        </w:rPr>
        <w:t>процентном  отношении</w:t>
      </w:r>
      <w:r>
        <w:rPr>
          <w:rFonts w:ascii="Times New Roman" w:hAnsi="Times New Roman"/>
        </w:rPr>
        <w:t xml:space="preserve"> к должностному окладу </w:t>
      </w:r>
    </w:p>
    <w:p w14:paraId="98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- в абсолютном денежном значении </w:t>
      </w:r>
    </w:p>
    <w:p w14:paraId="99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- в денежном значении в зависимости от к</w:t>
      </w:r>
      <w:r>
        <w:rPr>
          <w:rFonts w:ascii="Times New Roman" w:hAnsi="Times New Roman"/>
        </w:rPr>
        <w:t xml:space="preserve">оличества баллов </w:t>
      </w:r>
    </w:p>
    <w:p w14:paraId="9A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Абсолютное денежное значение и денежное значение 1-ого балла зависит от суммы обеспечения финансовых средств на стимулирующие выплата и устанавливается решением комиссии по распределению стимулирующих выплат путём голосования   в </w:t>
      </w:r>
      <w:r>
        <w:rPr>
          <w:rFonts w:ascii="Times New Roman" w:hAnsi="Times New Roman"/>
        </w:rPr>
        <w:t>соответствии  с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показателями и критериями качества деятельности сотрудников МБДОУ детского сада. </w:t>
      </w:r>
    </w:p>
    <w:p w14:paraId="9B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Абсолютное денежное значение стимулирующей выплаты может прописываться в показатели и критерии качества деятельности сотрудников МБДОУ детского сада.</w:t>
      </w:r>
    </w:p>
    <w:p w14:paraId="9C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Уста</w:t>
      </w:r>
      <w:r>
        <w:rPr>
          <w:rFonts w:ascii="Times New Roman" w:hAnsi="Times New Roman"/>
        </w:rPr>
        <w:t>новленное абсолютное денежное значение стимулирующей выплаты суммируется с денежным значением, определённым количеством баллов. Общее начисление стимулирующей выплаты на каждого сотрудника фиксируется в Протоколе заседания комиссии по распределению стимули</w:t>
      </w:r>
      <w:r>
        <w:rPr>
          <w:rFonts w:ascii="Times New Roman" w:hAnsi="Times New Roman"/>
        </w:rPr>
        <w:t>рующих выплат.</w:t>
      </w:r>
    </w:p>
    <w:p w14:paraId="9D000000">
      <w:pPr>
        <w:rPr>
          <w:rFonts w:ascii="Times New Roman" w:hAnsi="Times New Roman"/>
        </w:rPr>
      </w:pPr>
      <w:r>
        <w:rPr>
          <w:rFonts w:ascii="Times New Roman" w:hAnsi="Times New Roman"/>
        </w:rPr>
        <w:t>4.7. Максимальным размером поощрительные выплаты за высокие   результаты работы не ограничены.</w:t>
      </w:r>
    </w:p>
    <w:p w14:paraId="9E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4.8. Установления условий выплат, не связанных с результативностью </w:t>
      </w:r>
      <w:r>
        <w:rPr>
          <w:rFonts w:ascii="Times New Roman" w:hAnsi="Times New Roman"/>
        </w:rPr>
        <w:t>труда</w:t>
      </w:r>
      <w:r>
        <w:rPr>
          <w:rFonts w:ascii="Times New Roman" w:hAnsi="Times New Roman"/>
        </w:rPr>
        <w:t xml:space="preserve"> не допускается.</w:t>
      </w:r>
    </w:p>
    <w:p w14:paraId="9F000000">
      <w:pPr>
        <w:rPr>
          <w:rFonts w:ascii="Times New Roman" w:hAnsi="Times New Roman"/>
        </w:rPr>
      </w:pPr>
      <w:r>
        <w:rPr>
          <w:rFonts w:ascii="Times New Roman" w:hAnsi="Times New Roman"/>
        </w:rPr>
        <w:t>4.9. Стимулирующие выплаты могут выплачиваться только при</w:t>
      </w:r>
      <w:r>
        <w:rPr>
          <w:rFonts w:ascii="Times New Roman" w:hAnsi="Times New Roman"/>
        </w:rPr>
        <w:t xml:space="preserve"> условии обеспечения финансовыми средствами.</w:t>
      </w:r>
    </w:p>
    <w:p w14:paraId="A0000000">
      <w:pPr>
        <w:rPr>
          <w:rFonts w:ascii="Times New Roman" w:hAnsi="Times New Roman"/>
        </w:rPr>
      </w:pPr>
    </w:p>
    <w:p w14:paraId="A1000000">
      <w:pPr>
        <w:rPr>
          <w:rFonts w:ascii="Times New Roman" w:hAnsi="Times New Roman"/>
        </w:rPr>
      </w:pPr>
    </w:p>
    <w:p w14:paraId="A2000000"/>
    <w:sectPr>
      <w:pgSz w:h="16838" w:orient="portrait" w:w="11906"/>
      <w:pgMar w:bottom="1134" w:footer="720" w:gutter="0" w:header="720" w:left="1304" w:right="737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360"/>
      </w:pPr>
    </w:lvl>
    <w:lvl w:ilvl="1">
      <w:start w:val="1"/>
      <w:numFmt w:val="decimal"/>
      <w:lvlText w:val="%1.%2."/>
      <w:lvlJc w:val="left"/>
      <w:pPr>
        <w:ind w:hanging="430" w:left="790"/>
      </w:pPr>
    </w:lvl>
    <w:lvl w:ilvl="2">
      <w:start w:val="1"/>
      <w:numFmt w:val="decimal"/>
      <w:lvlText w:val="%1.%2.%3."/>
      <w:lvlJc w:val="left"/>
      <w:pPr>
        <w:ind w:hanging="505" w:left="1225"/>
      </w:pPr>
    </w:lvl>
    <w:lvl w:ilvl="3">
      <w:start w:val="1"/>
      <w:numFmt w:val="decimal"/>
      <w:lvlText w:val="%1.%2.%3.%4."/>
      <w:lvlJc w:val="left"/>
      <w:pPr>
        <w:ind w:hanging="650" w:left="1730"/>
      </w:pPr>
    </w:lvl>
    <w:lvl w:ilvl="4">
      <w:start w:val="1"/>
      <w:numFmt w:val="decimal"/>
      <w:lvlText w:val="%1.%2.%3.%4.%5."/>
      <w:lvlJc w:val="left"/>
      <w:pPr>
        <w:ind w:hanging="790" w:left="2230"/>
      </w:pPr>
    </w:lvl>
    <w:lvl w:ilvl="5">
      <w:start w:val="1"/>
      <w:numFmt w:val="decimal"/>
      <w:lvlText w:val="%1.%2.%3.%4.%5.%6."/>
      <w:lvlJc w:val="left"/>
      <w:pPr>
        <w:ind w:hanging="935" w:left="2735"/>
      </w:pPr>
    </w:lvl>
    <w:lvl w:ilvl="6">
      <w:start w:val="1"/>
      <w:numFmt w:val="decimal"/>
      <w:lvlText w:val="%1.%2.%3.%4.%5.%6.%7."/>
      <w:lvlJc w:val="left"/>
      <w:pPr>
        <w:ind w:hanging="1080" w:left="3240"/>
      </w:pPr>
    </w:lvl>
    <w:lvl w:ilvl="7">
      <w:start w:val="1"/>
      <w:numFmt w:val="decimal"/>
      <w:lvlText w:val="%1.%2.%3.%4.%5.%6.%7.%8."/>
      <w:lvlJc w:val="left"/>
      <w:pPr>
        <w:ind w:hanging="1225" w:left="3745"/>
      </w:pPr>
    </w:lvl>
    <w:lvl w:ilvl="8">
      <w:start w:val="1"/>
      <w:numFmt w:val="decimal"/>
      <w:lvlText w:val="%1.%2.%3.%4.%5.%6.%7.%8.%9."/>
      <w:lvlJc w:val="left"/>
      <w:pPr>
        <w:ind w:hanging="1440" w:left="4320"/>
      </w:pPr>
    </w:lvl>
  </w:abstractNum>
  <w:abstractNum w:abstractNumId="1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pPr>
      <w:ind/>
      <w:jc w:val="both"/>
    </w:pPr>
    <w:rPr>
      <w:sz w:val="28"/>
    </w:rPr>
  </w:style>
  <w:style w:default="1" w:styleId="Style_2_ch" w:type="character">
    <w:name w:val="Normal"/>
    <w:link w:val="Style_2"/>
    <w:rPr>
      <w:sz w:val="28"/>
    </w:rPr>
  </w:style>
  <w:style w:styleId="Style_3" w:type="paragraph">
    <w:name w:val="toc 2"/>
    <w:next w:val="Style_2"/>
    <w:link w:val="Style_3_ch"/>
    <w:uiPriority w:val="39"/>
    <w:pPr>
      <w:ind w:firstLine="0" w:left="200"/>
    </w:pPr>
    <w:rPr>
      <w:sz w:val="28"/>
    </w:rPr>
  </w:style>
  <w:style w:styleId="Style_3_ch" w:type="character">
    <w:name w:val="toc 2"/>
    <w:link w:val="Style_3"/>
    <w:rPr>
      <w:sz w:val="28"/>
    </w:rPr>
  </w:style>
  <w:style w:styleId="Style_4" w:type="paragraph">
    <w:name w:val="Обычный1"/>
    <w:link w:val="Style_4_ch"/>
    <w:rPr>
      <w:rFonts w:ascii="XO Thames" w:hAnsi="XO Thames"/>
      <w:sz w:val="28"/>
    </w:rPr>
  </w:style>
  <w:style w:styleId="Style_4_ch" w:type="character">
    <w:name w:val="Обычный1"/>
    <w:link w:val="Style_4"/>
    <w:rPr>
      <w:rFonts w:ascii="XO Thames" w:hAnsi="XO Thames"/>
      <w:sz w:val="28"/>
    </w:rPr>
  </w:style>
  <w:style w:styleId="Style_5" w:type="paragraph">
    <w:name w:val="toc 4"/>
    <w:next w:val="Style_2"/>
    <w:link w:val="Style_5_ch"/>
    <w:uiPriority w:val="39"/>
    <w:pPr>
      <w:ind w:firstLine="0" w:left="600"/>
    </w:pPr>
    <w:rPr>
      <w:sz w:val="28"/>
    </w:rPr>
  </w:style>
  <w:style w:styleId="Style_5_ch" w:type="character">
    <w:name w:val="toc 4"/>
    <w:link w:val="Style_5"/>
    <w:rPr>
      <w:sz w:val="28"/>
    </w:rPr>
  </w:style>
  <w:style w:styleId="Style_6" w:type="paragraph">
    <w:name w:val="toc 6"/>
    <w:next w:val="Style_2"/>
    <w:link w:val="Style_6_ch"/>
    <w:uiPriority w:val="39"/>
    <w:pPr>
      <w:ind w:firstLine="0" w:left="1000"/>
    </w:pPr>
    <w:rPr>
      <w:sz w:val="28"/>
    </w:rPr>
  </w:style>
  <w:style w:styleId="Style_6_ch" w:type="character">
    <w:name w:val="toc 6"/>
    <w:link w:val="Style_6"/>
    <w:rPr>
      <w:sz w:val="28"/>
    </w:rPr>
  </w:style>
  <w:style w:styleId="Style_7" w:type="paragraph">
    <w:name w:val="toc 7"/>
    <w:next w:val="Style_2"/>
    <w:link w:val="Style_7_ch"/>
    <w:uiPriority w:val="39"/>
    <w:pPr>
      <w:ind w:firstLine="0" w:left="1200"/>
    </w:pPr>
    <w:rPr>
      <w:sz w:val="28"/>
    </w:rPr>
  </w:style>
  <w:style w:styleId="Style_7_ch" w:type="character">
    <w:name w:val="toc 7"/>
    <w:link w:val="Style_7"/>
    <w:rPr>
      <w:sz w:val="28"/>
    </w:rPr>
  </w:style>
  <w:style w:styleId="Style_8" w:type="paragraph">
    <w:name w:val="heading 3"/>
    <w:next w:val="Style_2"/>
    <w:link w:val="Style_8_ch"/>
    <w:uiPriority w:val="9"/>
    <w:qFormat/>
    <w:pPr>
      <w:spacing w:after="120" w:before="120"/>
      <w:ind/>
      <w:jc w:val="both"/>
      <w:outlineLvl w:val="2"/>
    </w:pPr>
    <w:rPr>
      <w:b w:val="1"/>
      <w:sz w:val="26"/>
    </w:rPr>
  </w:style>
  <w:style w:styleId="Style_8_ch" w:type="character">
    <w:name w:val="heading 3"/>
    <w:link w:val="Style_8"/>
    <w:rPr>
      <w:b w:val="1"/>
      <w:sz w:val="26"/>
    </w:rPr>
  </w:style>
  <w:style w:styleId="Style_9" w:type="paragraph">
    <w:name w:val="toc 3"/>
    <w:next w:val="Style_2"/>
    <w:link w:val="Style_9_ch"/>
    <w:uiPriority w:val="39"/>
    <w:pPr>
      <w:ind w:firstLine="0" w:left="400"/>
    </w:pPr>
    <w:rPr>
      <w:sz w:val="28"/>
    </w:rPr>
  </w:style>
  <w:style w:styleId="Style_9_ch" w:type="character">
    <w:name w:val="toc 3"/>
    <w:link w:val="Style_9"/>
    <w:rPr>
      <w:sz w:val="28"/>
    </w:rPr>
  </w:style>
  <w:style w:styleId="Style_10" w:type="paragraph">
    <w:name w:val="heading 5"/>
    <w:next w:val="Style_2"/>
    <w:link w:val="Style_10_ch"/>
    <w:uiPriority w:val="9"/>
    <w:qFormat/>
    <w:pPr>
      <w:spacing w:after="120" w:before="120"/>
      <w:ind/>
      <w:jc w:val="both"/>
      <w:outlineLvl w:val="4"/>
    </w:pPr>
    <w:rPr>
      <w:b w:val="1"/>
      <w:sz w:val="22"/>
    </w:rPr>
  </w:style>
  <w:style w:styleId="Style_10_ch" w:type="character">
    <w:name w:val="heading 5"/>
    <w:link w:val="Style_10"/>
    <w:rPr>
      <w:b w:val="1"/>
      <w:sz w:val="22"/>
    </w:rPr>
  </w:style>
  <w:style w:styleId="Style_11" w:type="paragraph">
    <w:name w:val="heading 1"/>
    <w:next w:val="Style_2"/>
    <w:link w:val="Style_11_ch"/>
    <w:uiPriority w:val="9"/>
    <w:qFormat/>
    <w:pPr>
      <w:spacing w:after="120" w:before="120"/>
      <w:ind/>
      <w:jc w:val="both"/>
      <w:outlineLvl w:val="0"/>
    </w:pPr>
    <w:rPr>
      <w:b w:val="1"/>
      <w:sz w:val="32"/>
    </w:rPr>
  </w:style>
  <w:style w:styleId="Style_11_ch" w:type="character">
    <w:name w:val="heading 1"/>
    <w:link w:val="Style_11"/>
    <w:rPr>
      <w:b w:val="1"/>
      <w:sz w:val="32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ind w:firstLine="851" w:left="0"/>
      <w:jc w:val="both"/>
    </w:pPr>
    <w:rPr>
      <w:sz w:val="22"/>
    </w:rPr>
  </w:style>
  <w:style w:styleId="Style_13_ch" w:type="character">
    <w:name w:val="Footnote"/>
    <w:link w:val="Style_13"/>
    <w:rPr>
      <w:sz w:val="22"/>
    </w:rPr>
  </w:style>
  <w:style w:styleId="Style_14" w:type="paragraph">
    <w:name w:val="toc 1"/>
    <w:next w:val="Style_2"/>
    <w:link w:val="Style_14_ch"/>
    <w:uiPriority w:val="39"/>
    <w:rPr>
      <w:b w:val="1"/>
      <w:sz w:val="28"/>
    </w:rPr>
  </w:style>
  <w:style w:styleId="Style_14_ch" w:type="character">
    <w:name w:val="toc 1"/>
    <w:link w:val="Style_14"/>
    <w:rPr>
      <w:b w:val="1"/>
      <w:sz w:val="28"/>
    </w:rPr>
  </w:style>
  <w:style w:styleId="Style_15" w:type="paragraph">
    <w:name w:val="Default Paragraph Font"/>
    <w:link w:val="Style_15_ch"/>
  </w:style>
  <w:style w:styleId="Style_15_ch" w:type="character">
    <w:name w:val="Default Paragraph Font"/>
    <w:link w:val="Style_15"/>
  </w:style>
  <w:style w:styleId="Style_16" w:type="paragraph">
    <w:name w:val="Header and Footer"/>
    <w:link w:val="Style_16_ch"/>
    <w:pPr>
      <w:ind/>
      <w:jc w:val="both"/>
    </w:pPr>
    <w:rPr>
      <w:sz w:val="20"/>
    </w:rPr>
  </w:style>
  <w:style w:styleId="Style_16_ch" w:type="character">
    <w:name w:val="Header and Footer"/>
    <w:link w:val="Style_16"/>
    <w:rPr>
      <w:sz w:val="20"/>
    </w:rPr>
  </w:style>
  <w:style w:styleId="Style_17" w:type="paragraph">
    <w:name w:val="toc 9"/>
    <w:next w:val="Style_2"/>
    <w:link w:val="Style_17_ch"/>
    <w:uiPriority w:val="39"/>
    <w:pPr>
      <w:ind w:firstLine="0" w:left="1600"/>
    </w:pPr>
    <w:rPr>
      <w:sz w:val="28"/>
    </w:rPr>
  </w:style>
  <w:style w:styleId="Style_17_ch" w:type="character">
    <w:name w:val="toc 9"/>
    <w:link w:val="Style_17"/>
    <w:rPr>
      <w:sz w:val="28"/>
    </w:rPr>
  </w:style>
  <w:style w:styleId="Style_18" w:type="paragraph">
    <w:name w:val="toc 8"/>
    <w:next w:val="Style_2"/>
    <w:link w:val="Style_18_ch"/>
    <w:uiPriority w:val="39"/>
    <w:pPr>
      <w:ind w:firstLine="0" w:left="1400"/>
    </w:pPr>
    <w:rPr>
      <w:sz w:val="28"/>
    </w:rPr>
  </w:style>
  <w:style w:styleId="Style_18_ch" w:type="character">
    <w:name w:val="toc 8"/>
    <w:link w:val="Style_18"/>
    <w:rPr>
      <w:sz w:val="28"/>
    </w:rPr>
  </w:style>
  <w:style w:styleId="Style_19" w:type="paragraph">
    <w:name w:val="Гиперссылка1"/>
    <w:link w:val="Style_19_ch"/>
    <w:rPr>
      <w:color w:val="0000FF"/>
      <w:u w:val="single"/>
    </w:rPr>
  </w:style>
  <w:style w:styleId="Style_19_ch" w:type="character">
    <w:name w:val="Гиперссылка1"/>
    <w:link w:val="Style_19"/>
    <w:rPr>
      <w:color w:val="0000FF"/>
      <w:u w:val="single"/>
    </w:rPr>
  </w:style>
  <w:style w:styleId="Style_20" w:type="paragraph">
    <w:name w:val="toc 5"/>
    <w:next w:val="Style_2"/>
    <w:link w:val="Style_20_ch"/>
    <w:uiPriority w:val="39"/>
    <w:pPr>
      <w:ind w:firstLine="0" w:left="800"/>
    </w:pPr>
    <w:rPr>
      <w:sz w:val="28"/>
    </w:rPr>
  </w:style>
  <w:style w:styleId="Style_20_ch" w:type="character">
    <w:name w:val="toc 5"/>
    <w:link w:val="Style_20"/>
    <w:rPr>
      <w:sz w:val="28"/>
    </w:rPr>
  </w:style>
  <w:style w:styleId="Style_21" w:type="paragraph">
    <w:name w:val="Subtitle"/>
    <w:next w:val="Style_2"/>
    <w:link w:val="Style_21_ch"/>
    <w:uiPriority w:val="11"/>
    <w:qFormat/>
    <w:pPr>
      <w:ind/>
      <w:jc w:val="both"/>
    </w:pPr>
    <w:rPr>
      <w:i w:val="1"/>
    </w:rPr>
  </w:style>
  <w:style w:styleId="Style_21_ch" w:type="character">
    <w:name w:val="Subtitle"/>
    <w:link w:val="Style_21"/>
    <w:rPr>
      <w:i w:val="1"/>
    </w:rPr>
  </w:style>
  <w:style w:styleId="Style_22" w:type="paragraph">
    <w:name w:val="Title"/>
    <w:next w:val="Style_2"/>
    <w:link w:val="Style_22_ch"/>
    <w:uiPriority w:val="10"/>
    <w:qFormat/>
    <w:pPr>
      <w:spacing w:after="567" w:before="567"/>
      <w:ind/>
      <w:jc w:val="center"/>
    </w:pPr>
    <w:rPr>
      <w:b w:val="1"/>
      <w:caps w:val="1"/>
      <w:sz w:val="40"/>
    </w:rPr>
  </w:style>
  <w:style w:styleId="Style_22_ch" w:type="character">
    <w:name w:val="Title"/>
    <w:link w:val="Style_22"/>
    <w:rPr>
      <w:b w:val="1"/>
      <w:caps w:val="1"/>
      <w:sz w:val="40"/>
    </w:rPr>
  </w:style>
  <w:style w:styleId="Style_23" w:type="paragraph">
    <w:name w:val="heading 4"/>
    <w:next w:val="Style_2"/>
    <w:link w:val="Style_23_ch"/>
    <w:uiPriority w:val="9"/>
    <w:qFormat/>
    <w:pPr>
      <w:spacing w:after="120" w:before="120"/>
      <w:ind/>
      <w:jc w:val="both"/>
      <w:outlineLvl w:val="3"/>
    </w:pPr>
    <w:rPr>
      <w:b w:val="1"/>
    </w:rPr>
  </w:style>
  <w:style w:styleId="Style_23_ch" w:type="character">
    <w:name w:val="heading 4"/>
    <w:link w:val="Style_23"/>
    <w:rPr>
      <w:b w:val="1"/>
    </w:rPr>
  </w:style>
  <w:style w:styleId="Style_24" w:type="paragraph">
    <w:name w:val="heading 2"/>
    <w:next w:val="Style_2"/>
    <w:link w:val="Style_24_ch"/>
    <w:uiPriority w:val="9"/>
    <w:qFormat/>
    <w:pPr>
      <w:spacing w:after="120" w:before="120"/>
      <w:ind/>
      <w:jc w:val="both"/>
      <w:outlineLvl w:val="1"/>
    </w:pPr>
    <w:rPr>
      <w:b w:val="1"/>
      <w:sz w:val="28"/>
    </w:rPr>
  </w:style>
  <w:style w:styleId="Style_24_ch" w:type="character">
    <w:name w:val="heading 2"/>
    <w:link w:val="Style_24"/>
    <w:rPr>
      <w:b w:val="1"/>
      <w:sz w:val="28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8" Target="numbering.xml" Type="http://schemas.openxmlformats.org/officeDocument/2006/relationships/numbering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2022-12-06T10:42:18Z</dcterms:modified>
</cp:coreProperties>
</file>